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insurance premiums required to be taken out by the Client for the project, shall be charged to the Consultant within the limit of [...] of the total amount of his/her fees.</w:t>
      </w:r>
    </w:p>
    <w:p>
      <w:pPr/>
      <w:r>
        <w:rPr/>
        <w:t xml:space="preserve">The Client shall take out an insurance policy […] to comply with the applicable regulations that covers all parties, in compliance with this Agreement.</w:t>
      </w:r>
    </w:p>
    <w:p>
      <w:pPr/>
      <w:r>
        <w:rPr/>
        <w:t xml:space="preserve">He/She undertakes to provide the Consultant with the corresponding insurance policy.</w:t>
      </w:r>
    </w:p>
    <w:p>
      <w:pPr/>
      <w:r>
        <w:rPr>
          <w:b w:val="1"/>
          <w:bCs w:val="1"/>
        </w:rPr>
        <w:t xml:space="preserve">Vairant:</w:t>
      </w:r>
    </w:p>
    <w:p>
      <w:pPr/>
      <w:r>
        <w:rPr/>
        <w:t xml:space="preserve">The premiums of the insurance policy taken out by the Consultant for the operation is borne by the Client upon presentation of justification.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2025-12-13T01:50:54+01:00</dcterms:created>
  <dcterms:modified xsi:type="dcterms:W3CDTF">2025-12-13T01:50:54+01:00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